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spacing w:line="240" w:lineRule="auto"/>
        <w:jc w:val="left"/>
        <w:rPr/>
      </w:pPr>
      <w:r w:rsidDel="00000000" w:rsidR="00000000" w:rsidRPr="00000000">
        <w:rPr>
          <w:rtl w:val="0"/>
        </w:rPr>
      </w:r>
    </w:p>
    <w:p w:rsidR="00000000" w:rsidDel="00000000" w:rsidP="00000000" w:rsidRDefault="00000000" w:rsidRPr="00000000" w14:paraId="00000003">
      <w:pPr>
        <w:spacing w:line="240" w:lineRule="auto"/>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widowControl w:val="0"/>
        <w:spacing w:before="289.9200439453125" w:line="240" w:lineRule="auto"/>
        <w:ind w:left="0" w:right="162.7050781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Definitions</w:t>
      </w:r>
    </w:p>
    <w:p w:rsidR="00000000" w:rsidDel="00000000" w:rsidP="00000000" w:rsidRDefault="00000000" w:rsidRPr="00000000" w14:paraId="00000005">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Group -  </w:t>
      </w:r>
      <w:r w:rsidDel="00000000" w:rsidR="00000000" w:rsidRPr="00000000">
        <w:rPr>
          <w:rFonts w:ascii="Calibri" w:cs="Calibri" w:eastAsia="Calibri" w:hAnsi="Calibri"/>
          <w:sz w:val="24"/>
          <w:szCs w:val="24"/>
          <w:rtl w:val="0"/>
        </w:rPr>
        <w:t xml:space="preserve">'The Friends of Cannock Stadium Park' </w:t>
      </w:r>
    </w:p>
    <w:p w:rsidR="00000000" w:rsidDel="00000000" w:rsidP="00000000" w:rsidRDefault="00000000" w:rsidRPr="00000000" w14:paraId="00000006">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GDPR -</w:t>
      </w:r>
      <w:r w:rsidDel="00000000" w:rsidR="00000000" w:rsidRPr="00000000">
        <w:rPr>
          <w:rFonts w:ascii="Calibri" w:cs="Calibri" w:eastAsia="Calibri" w:hAnsi="Calibri"/>
          <w:sz w:val="24"/>
          <w:szCs w:val="24"/>
          <w:rtl w:val="0"/>
        </w:rPr>
        <w:t xml:space="preserve"> General Data Protection Regulation.</w:t>
      </w:r>
    </w:p>
    <w:p w:rsidR="00000000" w:rsidDel="00000000" w:rsidP="00000000" w:rsidRDefault="00000000" w:rsidRPr="00000000" w14:paraId="00000007">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Responsible Person - </w:t>
      </w:r>
      <w:r w:rsidDel="00000000" w:rsidR="00000000" w:rsidRPr="00000000">
        <w:rPr>
          <w:rFonts w:ascii="Calibri" w:cs="Calibri" w:eastAsia="Calibri" w:hAnsi="Calibri"/>
          <w:sz w:val="24"/>
          <w:szCs w:val="24"/>
          <w:rtl w:val="0"/>
        </w:rPr>
        <w:t xml:space="preserve">Person who is responsible for data protection within 'The Friends of</w:t>
      </w:r>
    </w:p>
    <w:p w:rsidR="00000000" w:rsidDel="00000000" w:rsidP="00000000" w:rsidRDefault="00000000" w:rsidRPr="00000000" w14:paraId="00000008">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Cannock Stadium Park' </w:t>
      </w:r>
    </w:p>
    <w:p w:rsidR="00000000" w:rsidDel="00000000" w:rsidP="00000000" w:rsidRDefault="00000000" w:rsidRPr="00000000" w14:paraId="00000009">
      <w:pPr>
        <w:widowControl w:val="0"/>
        <w:spacing w:before="289.9200439453125" w:line="240" w:lineRule="auto"/>
        <w:ind w:left="0" w:right="162.7050781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protection principles</w:t>
      </w:r>
    </w:p>
    <w:p w:rsidR="00000000" w:rsidDel="00000000" w:rsidP="00000000" w:rsidRDefault="00000000" w:rsidRPr="00000000" w14:paraId="0000000A">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Group is committed to processing data in accordance with its responsibilities under the</w:t>
      </w:r>
    </w:p>
    <w:p w:rsidR="00000000" w:rsidDel="00000000" w:rsidP="00000000" w:rsidRDefault="00000000" w:rsidRPr="00000000" w14:paraId="0000000B">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GDPR. Article 5 of the GDPR requires that personal data shall be processed lawfully, fairly and in a transparent manner in relation to individuals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adequate, relevant and limited to what is necessary in relation to the purposes for which they are processed accurate and, where necessary, kept up to date; every reasonable step must be taken to ensure that personal data that are inaccurate, having regard to the purposes for which they are processed, are erased or rectified without delay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processed in a manner that ensures appropriate security of the personal data, including protection against unauthorised or unlawful processing and against accidental loss, destruction or damage, using appropriate technical or organisational measures.”</w:t>
      </w:r>
    </w:p>
    <w:p w:rsidR="00000000" w:rsidDel="00000000" w:rsidP="00000000" w:rsidRDefault="00000000" w:rsidRPr="00000000" w14:paraId="0000000C">
      <w:pPr>
        <w:widowControl w:val="0"/>
        <w:spacing w:before="289.9200439453125" w:line="240" w:lineRule="auto"/>
        <w:ind w:left="0" w:right="162.705078125"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General provisions</w:t>
      </w:r>
      <w:r w:rsidDel="00000000" w:rsidR="00000000" w:rsidRPr="00000000">
        <w:rPr>
          <w:rtl w:val="0"/>
        </w:rPr>
      </w:r>
    </w:p>
    <w:p w:rsidR="00000000" w:rsidDel="00000000" w:rsidP="00000000" w:rsidRDefault="00000000" w:rsidRPr="00000000" w14:paraId="0000000D">
      <w:pPr>
        <w:widowControl w:val="0"/>
        <w:numPr>
          <w:ilvl w:val="0"/>
          <w:numId w:val="4"/>
        </w:numPr>
        <w:spacing w:after="0" w:afterAutospacing="0" w:before="289.9200439453125"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policy applies to all personal data processed by the Group. The Responsible Person shall take responsibility for the Group’s ongoing compliance with this policy.</w:t>
      </w:r>
    </w:p>
    <w:p w:rsidR="00000000" w:rsidDel="00000000" w:rsidP="00000000" w:rsidRDefault="00000000" w:rsidRPr="00000000" w14:paraId="0000000E">
      <w:pPr>
        <w:widowControl w:val="0"/>
        <w:numPr>
          <w:ilvl w:val="0"/>
          <w:numId w:val="4"/>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policy shall be reviewed at least annually.</w:t>
      </w:r>
    </w:p>
    <w:p w:rsidR="00000000" w:rsidDel="00000000" w:rsidP="00000000" w:rsidRDefault="00000000" w:rsidRPr="00000000" w14:paraId="0000000F">
      <w:pPr>
        <w:widowControl w:val="0"/>
        <w:numPr>
          <w:ilvl w:val="0"/>
          <w:numId w:val="4"/>
        </w:numPr>
        <w:spacing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the community group becomes a charity, it shall register with the Information Commissioner’s Office as an organisation that processes personal data.</w:t>
      </w:r>
    </w:p>
    <w:p w:rsidR="00000000" w:rsidDel="00000000" w:rsidP="00000000" w:rsidRDefault="00000000" w:rsidRPr="00000000" w14:paraId="00000010">
      <w:pPr>
        <w:widowControl w:val="0"/>
        <w:spacing w:before="289.9200439453125" w:line="240" w:lineRule="auto"/>
        <w:ind w:left="0" w:right="162.705078125"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Lawful, fair and transparent processing</w:t>
      </w:r>
      <w:r w:rsidDel="00000000" w:rsidR="00000000" w:rsidRPr="00000000">
        <w:rPr>
          <w:rtl w:val="0"/>
        </w:rPr>
      </w:r>
    </w:p>
    <w:p w:rsidR="00000000" w:rsidDel="00000000" w:rsidP="00000000" w:rsidRDefault="00000000" w:rsidRPr="00000000" w14:paraId="00000011">
      <w:pPr>
        <w:widowControl w:val="0"/>
        <w:numPr>
          <w:ilvl w:val="0"/>
          <w:numId w:val="3"/>
        </w:numPr>
        <w:spacing w:after="0" w:afterAutospacing="0" w:before="289.9200439453125"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ensure its processing of data is lawful, fair and transparent, the Group shall maintain a Register of Systems.</w:t>
      </w:r>
    </w:p>
    <w:p w:rsidR="00000000" w:rsidDel="00000000" w:rsidP="00000000" w:rsidRDefault="00000000" w:rsidRPr="00000000" w14:paraId="00000012">
      <w:pPr>
        <w:widowControl w:val="0"/>
        <w:numPr>
          <w:ilvl w:val="0"/>
          <w:numId w:val="3"/>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Register of Systems shall be reviewed at least annually.</w:t>
      </w:r>
    </w:p>
    <w:p w:rsidR="00000000" w:rsidDel="00000000" w:rsidP="00000000" w:rsidRDefault="00000000" w:rsidRPr="00000000" w14:paraId="00000013">
      <w:pPr>
        <w:widowControl w:val="0"/>
        <w:numPr>
          <w:ilvl w:val="0"/>
          <w:numId w:val="3"/>
        </w:numPr>
        <w:spacing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Individuals have the right to access their personal data and any such requests made to the group shall be dealt with in a timely manner.</w:t>
      </w:r>
    </w:p>
    <w:p w:rsidR="00000000" w:rsidDel="00000000" w:rsidP="00000000" w:rsidRDefault="00000000" w:rsidRPr="00000000" w14:paraId="00000014">
      <w:pPr>
        <w:widowControl w:val="0"/>
        <w:spacing w:before="289.9200439453125" w:line="240" w:lineRule="auto"/>
        <w:ind w:left="0" w:right="162.705078125"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Lawful purposes</w:t>
      </w:r>
      <w:r w:rsidDel="00000000" w:rsidR="00000000" w:rsidRPr="00000000">
        <w:rPr>
          <w:rtl w:val="0"/>
        </w:rPr>
      </w:r>
    </w:p>
    <w:p w:rsidR="00000000" w:rsidDel="00000000" w:rsidP="00000000" w:rsidRDefault="00000000" w:rsidRPr="00000000" w14:paraId="00000015">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data processed by the group must be done on one of the following lawful bases:</w:t>
      </w:r>
    </w:p>
    <w:p w:rsidR="00000000" w:rsidDel="00000000" w:rsidP="00000000" w:rsidRDefault="00000000" w:rsidRPr="00000000" w14:paraId="00000016">
      <w:pPr>
        <w:widowControl w:val="0"/>
        <w:numPr>
          <w:ilvl w:val="0"/>
          <w:numId w:val="2"/>
        </w:numPr>
        <w:spacing w:after="0" w:afterAutospacing="0" w:before="289.9200439453125"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Consent </w:t>
      </w:r>
    </w:p>
    <w:p w:rsidR="00000000" w:rsidDel="00000000" w:rsidP="00000000" w:rsidRDefault="00000000" w:rsidRPr="00000000" w14:paraId="00000017">
      <w:pPr>
        <w:widowControl w:val="0"/>
        <w:numPr>
          <w:ilvl w:val="0"/>
          <w:numId w:val="2"/>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Contract</w:t>
      </w:r>
    </w:p>
    <w:p w:rsidR="00000000" w:rsidDel="00000000" w:rsidP="00000000" w:rsidRDefault="00000000" w:rsidRPr="00000000" w14:paraId="00000018">
      <w:pPr>
        <w:widowControl w:val="0"/>
        <w:numPr>
          <w:ilvl w:val="0"/>
          <w:numId w:val="2"/>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Legal obligation</w:t>
      </w:r>
    </w:p>
    <w:p w:rsidR="00000000" w:rsidDel="00000000" w:rsidP="00000000" w:rsidRDefault="00000000" w:rsidRPr="00000000" w14:paraId="00000019">
      <w:pPr>
        <w:widowControl w:val="0"/>
        <w:numPr>
          <w:ilvl w:val="0"/>
          <w:numId w:val="2"/>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Vital interests</w:t>
      </w:r>
    </w:p>
    <w:p w:rsidR="00000000" w:rsidDel="00000000" w:rsidP="00000000" w:rsidRDefault="00000000" w:rsidRPr="00000000" w14:paraId="0000001A">
      <w:pPr>
        <w:widowControl w:val="0"/>
        <w:numPr>
          <w:ilvl w:val="0"/>
          <w:numId w:val="2"/>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Public task or legitimate interests</w:t>
      </w:r>
    </w:p>
    <w:p w:rsidR="00000000" w:rsidDel="00000000" w:rsidP="00000000" w:rsidRDefault="00000000" w:rsidRPr="00000000" w14:paraId="0000001B">
      <w:pPr>
        <w:widowControl w:val="0"/>
        <w:numPr>
          <w:ilvl w:val="0"/>
          <w:numId w:val="2"/>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Group shall note the appropriate lawful basis in the Register of Systems.</w:t>
      </w:r>
    </w:p>
    <w:p w:rsidR="00000000" w:rsidDel="00000000" w:rsidP="00000000" w:rsidRDefault="00000000" w:rsidRPr="00000000" w14:paraId="0000001C">
      <w:pPr>
        <w:widowControl w:val="0"/>
        <w:numPr>
          <w:ilvl w:val="0"/>
          <w:numId w:val="2"/>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Where consent is relied upon as a lawful basis for processing data, evidence of opt-in consent shall be kept with the personal data.</w:t>
      </w:r>
    </w:p>
    <w:p w:rsidR="00000000" w:rsidDel="00000000" w:rsidP="00000000" w:rsidRDefault="00000000" w:rsidRPr="00000000" w14:paraId="0000001D">
      <w:pPr>
        <w:widowControl w:val="0"/>
        <w:numPr>
          <w:ilvl w:val="0"/>
          <w:numId w:val="2"/>
        </w:numPr>
        <w:spacing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Where communications are sent to individuals based on their consent, the option for the individual to revoke their consent should be clearly available and systems should be in place to ensure such revocation is reflected accurately in the Group’s systems.</w:t>
      </w:r>
    </w:p>
    <w:p w:rsidR="00000000" w:rsidDel="00000000" w:rsidP="00000000" w:rsidRDefault="00000000" w:rsidRPr="00000000" w14:paraId="0000001E">
      <w:pPr>
        <w:widowControl w:val="0"/>
        <w:spacing w:before="289.9200439453125" w:line="240" w:lineRule="auto"/>
        <w:ind w:left="0" w:right="162.7050781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minimisation</w:t>
      </w:r>
    </w:p>
    <w:p w:rsidR="00000000" w:rsidDel="00000000" w:rsidP="00000000" w:rsidRDefault="00000000" w:rsidRPr="00000000" w14:paraId="0000001F">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Group shall ensure that personal data are adequate, relevant and limited to what is necessary in relation to the purposes for which they are processed.</w:t>
      </w:r>
    </w:p>
    <w:p w:rsidR="00000000" w:rsidDel="00000000" w:rsidP="00000000" w:rsidRDefault="00000000" w:rsidRPr="00000000" w14:paraId="00000020">
      <w:pPr>
        <w:widowControl w:val="0"/>
        <w:spacing w:before="289.9200439453125" w:line="240" w:lineRule="auto"/>
        <w:ind w:left="0" w:right="162.705078125"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Accuracy</w:t>
      </w:r>
      <w:r w:rsidDel="00000000" w:rsidR="00000000" w:rsidRPr="00000000">
        <w:rPr>
          <w:rtl w:val="0"/>
        </w:rPr>
      </w:r>
    </w:p>
    <w:p w:rsidR="00000000" w:rsidDel="00000000" w:rsidP="00000000" w:rsidRDefault="00000000" w:rsidRPr="00000000" w14:paraId="00000021">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group shall take reasonable steps to ensure personal data is accurate.</w:t>
      </w:r>
    </w:p>
    <w:p w:rsidR="00000000" w:rsidDel="00000000" w:rsidP="00000000" w:rsidRDefault="00000000" w:rsidRPr="00000000" w14:paraId="00000022">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necessary for the lawful basis on which data is processed, steps shall be put in place to ensure that personal data is kept up to date.</w:t>
      </w:r>
    </w:p>
    <w:p w:rsidR="00000000" w:rsidDel="00000000" w:rsidP="00000000" w:rsidRDefault="00000000" w:rsidRPr="00000000" w14:paraId="00000023">
      <w:pPr>
        <w:widowControl w:val="0"/>
        <w:spacing w:before="289.9200439453125" w:line="240" w:lineRule="auto"/>
        <w:ind w:left="0" w:right="162.705078125"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Archiving / removal</w:t>
      </w:r>
      <w:r w:rsidDel="00000000" w:rsidR="00000000" w:rsidRPr="00000000">
        <w:rPr>
          <w:rtl w:val="0"/>
        </w:rPr>
      </w:r>
    </w:p>
    <w:p w:rsidR="00000000" w:rsidDel="00000000" w:rsidP="00000000" w:rsidRDefault="00000000" w:rsidRPr="00000000" w14:paraId="00000024">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ensure that personal data is kept for no longer than necessary, the Group shall put in place an archiving policy for each area in which personal data is processed and review this process annually.  </w:t>
      </w:r>
    </w:p>
    <w:p w:rsidR="00000000" w:rsidDel="00000000" w:rsidP="00000000" w:rsidRDefault="00000000" w:rsidRPr="00000000" w14:paraId="00000025">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archiving policy shall consider what data should/must be retained, for how long, and why.</w:t>
      </w:r>
    </w:p>
    <w:p w:rsidR="00000000" w:rsidDel="00000000" w:rsidP="00000000" w:rsidRDefault="00000000" w:rsidRPr="00000000" w14:paraId="00000026">
      <w:pPr>
        <w:widowControl w:val="0"/>
        <w:spacing w:before="289.9200439453125" w:line="240" w:lineRule="auto"/>
        <w:ind w:left="0" w:right="162.7050781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Security</w:t>
      </w:r>
    </w:p>
    <w:p w:rsidR="00000000" w:rsidDel="00000000" w:rsidP="00000000" w:rsidRDefault="00000000" w:rsidRPr="00000000" w14:paraId="00000027">
      <w:pPr>
        <w:widowControl w:val="0"/>
        <w:numPr>
          <w:ilvl w:val="0"/>
          <w:numId w:val="1"/>
        </w:numPr>
        <w:spacing w:after="0" w:afterAutospacing="0" w:before="289.9200439453125"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Group shall ensure that personal data is stored securely using modern software that is kept-up-to-date.</w:t>
      </w:r>
    </w:p>
    <w:p w:rsidR="00000000" w:rsidDel="00000000" w:rsidP="00000000" w:rsidRDefault="00000000" w:rsidRPr="00000000" w14:paraId="00000028">
      <w:pPr>
        <w:widowControl w:val="0"/>
        <w:numPr>
          <w:ilvl w:val="0"/>
          <w:numId w:val="1"/>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Access to personal data shall be limited to personnel who need access and appropriate security should be in place to avoid unauthorised sharing of information.</w:t>
      </w:r>
    </w:p>
    <w:p w:rsidR="00000000" w:rsidDel="00000000" w:rsidP="00000000" w:rsidRDefault="00000000" w:rsidRPr="00000000" w14:paraId="00000029">
      <w:pPr>
        <w:widowControl w:val="0"/>
        <w:numPr>
          <w:ilvl w:val="0"/>
          <w:numId w:val="1"/>
        </w:numPr>
        <w:spacing w:after="0" w:afterAutospacing="0"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When personal data is deleted this should be done safely such that the data is irrecoverable.</w:t>
      </w:r>
    </w:p>
    <w:p w:rsidR="00000000" w:rsidDel="00000000" w:rsidP="00000000" w:rsidRDefault="00000000" w:rsidRPr="00000000" w14:paraId="0000002A">
      <w:pPr>
        <w:widowControl w:val="0"/>
        <w:numPr>
          <w:ilvl w:val="0"/>
          <w:numId w:val="1"/>
        </w:numPr>
        <w:spacing w:before="0" w:beforeAutospacing="0" w:line="240" w:lineRule="auto"/>
        <w:ind w:left="720" w:right="162.7050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Appropriate back-up and disaster recovery solutions shall be in place.</w:t>
      </w:r>
    </w:p>
    <w:p w:rsidR="00000000" w:rsidDel="00000000" w:rsidP="00000000" w:rsidRDefault="00000000" w:rsidRPr="00000000" w14:paraId="0000002B">
      <w:pPr>
        <w:widowControl w:val="0"/>
        <w:spacing w:before="289.9200439453125" w:line="240" w:lineRule="auto"/>
        <w:ind w:left="0" w:right="162.705078125"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Breach</w:t>
      </w:r>
      <w:r w:rsidDel="00000000" w:rsidR="00000000" w:rsidRPr="00000000">
        <w:rPr>
          <w:rtl w:val="0"/>
        </w:rPr>
      </w:r>
    </w:p>
    <w:p w:rsidR="00000000" w:rsidDel="00000000" w:rsidP="00000000" w:rsidRDefault="00000000" w:rsidRPr="00000000" w14:paraId="0000002C">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of a breach of security leading to the accidental or unlawful destruction, loss, alteration, unauthorised disclosure of, or access to, personal data, the Group shall promptly assess the risk to people’s rights and freedoms and if appropriate report this breach to the ICO (more information on the ICO website).</w:t>
      </w:r>
    </w:p>
    <w:p w:rsidR="00000000" w:rsidDel="00000000" w:rsidP="00000000" w:rsidRDefault="00000000" w:rsidRPr="00000000" w14:paraId="0000002D">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1700.7874015748032"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b w:val="1"/>
        <w:sz w:val="48"/>
        <w:szCs w:val="48"/>
      </w:rPr>
    </w:pPr>
    <w:r w:rsidDel="00000000" w:rsidR="00000000" w:rsidRPr="00000000">
      <w:rPr>
        <w:b w:val="1"/>
        <w:sz w:val="48"/>
        <w:szCs w:val="48"/>
        <w:rtl w:val="0"/>
      </w:rPr>
      <w:t xml:space="preserve">Data Protection Policy</w:t>
    </w:r>
    <w:r w:rsidDel="00000000" w:rsidR="00000000" w:rsidRPr="00000000">
      <w:drawing>
        <wp:anchor allowOverlap="1" behindDoc="1" distB="114300" distT="114300" distL="114300" distR="114300" hidden="0" layoutInCell="1" locked="0" relativeHeight="0" simplePos="0">
          <wp:simplePos x="0" y="0"/>
          <wp:positionH relativeFrom="column">
            <wp:posOffset>5284498</wp:posOffset>
          </wp:positionH>
          <wp:positionV relativeFrom="paragraph">
            <wp:posOffset>-876299</wp:posOffset>
          </wp:positionV>
          <wp:extent cx="1182977" cy="1391738"/>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82977" cy="13917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b w:val="1"/>
        <w:sz w:val="46"/>
        <w:szCs w:val="46"/>
      </w:rPr>
    </w:pPr>
    <w:r w:rsidDel="00000000" w:rsidR="00000000" w:rsidRPr="00000000">
      <w:rPr>
        <w:b w:val="1"/>
        <w:sz w:val="46"/>
        <w:szCs w:val="46"/>
        <w:rtl w:val="0"/>
      </w:rPr>
      <w:t xml:space="preserve">Child Protection &amp; </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p w:rsidR="00000000" w:rsidDel="00000000" w:rsidP="00000000" w:rsidRDefault="00000000" w:rsidRPr="00000000" w14:paraId="00000030">
    <w:pPr>
      <w:rPr>
        <w:b w:val="1"/>
        <w:sz w:val="46"/>
        <w:szCs w:val="46"/>
      </w:rPr>
    </w:pPr>
    <w:r w:rsidDel="00000000" w:rsidR="00000000" w:rsidRPr="00000000">
      <w:rPr>
        <w:b w:val="1"/>
        <w:sz w:val="46"/>
        <w:szCs w:val="46"/>
        <w:rtl w:val="0"/>
      </w:rPr>
      <w:t xml:space="preserve">Safeguarding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